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183" w:rsidRPr="0052548E" w:rsidRDefault="00C97183" w:rsidP="00C97183">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#89               </w:t>
      </w:r>
      <w:r>
        <w:rPr>
          <w:rFonts w:ascii="Arial" w:hAnsi="Arial" w:cs="Arial" w:hint="eastAsia"/>
          <w:b/>
          <w:bCs/>
          <w:sz w:val="28"/>
          <w:lang w:val="en-GB"/>
        </w:rPr>
        <w:t xml:space="preserve">     </w:t>
      </w:r>
      <w:r>
        <w:rPr>
          <w:rFonts w:ascii="Arial" w:hAnsi="Arial" w:cs="Arial"/>
          <w:b/>
          <w:bCs/>
          <w:sz w:val="28"/>
          <w:lang w:val="en-GB"/>
        </w:rPr>
        <w:t xml:space="preserve">                     </w:t>
      </w:r>
      <w:bookmarkStart w:id="1" w:name="_GoBack"/>
      <w:r>
        <w:rPr>
          <w:rFonts w:ascii="Arial" w:hAnsi="Arial" w:cs="Arial"/>
          <w:b/>
          <w:bCs/>
          <w:sz w:val="28"/>
          <w:lang w:val="en-GB"/>
        </w:rPr>
        <w:t>R-1</w:t>
      </w:r>
      <w:r w:rsidRPr="00261188">
        <w:rPr>
          <w:rFonts w:ascii="Arial" w:hAnsi="Arial" w:cs="Arial"/>
          <w:b/>
          <w:bCs/>
          <w:sz w:val="28"/>
          <w:lang w:val="en-GB"/>
        </w:rPr>
        <w:t>70</w:t>
      </w:r>
      <w:r>
        <w:rPr>
          <w:rFonts w:ascii="Arial" w:hAnsi="Arial" w:cs="Arial"/>
          <w:b/>
          <w:bCs/>
          <w:sz w:val="28"/>
          <w:lang w:val="en-GB"/>
        </w:rPr>
        <w:t>7834</w:t>
      </w:r>
    </w:p>
    <w:bookmarkEnd w:id="1"/>
    <w:p w:rsidR="00C97183" w:rsidRPr="0052548E" w:rsidRDefault="00C97183" w:rsidP="00C97183">
      <w:pPr>
        <w:tabs>
          <w:tab w:val="center" w:pos="4536"/>
          <w:tab w:val="right" w:pos="9072"/>
        </w:tabs>
        <w:rPr>
          <w:rFonts w:ascii="Arial" w:hAnsi="Arial" w:cs="Arial"/>
          <w:b/>
          <w:bCs/>
          <w:sz w:val="28"/>
        </w:rPr>
      </w:pPr>
      <w:r>
        <w:rPr>
          <w:rFonts w:ascii="Arial" w:hAnsi="Arial" w:cs="Arial"/>
          <w:b/>
          <w:bCs/>
          <w:sz w:val="28"/>
        </w:rPr>
        <w:t>Hangzhou, China, May 15</w:t>
      </w:r>
      <w:r w:rsidRPr="004060CE">
        <w:rPr>
          <w:rFonts w:ascii="Arial" w:hAnsi="Arial" w:cs="Arial"/>
          <w:b/>
          <w:bCs/>
          <w:sz w:val="28"/>
          <w:vertAlign w:val="superscript"/>
        </w:rPr>
        <w:t>th</w:t>
      </w:r>
      <w:r>
        <w:rPr>
          <w:rFonts w:ascii="Arial" w:hAnsi="Arial" w:cs="Arial"/>
          <w:b/>
          <w:bCs/>
          <w:sz w:val="28"/>
        </w:rPr>
        <w:t xml:space="preserve"> – 19</w:t>
      </w:r>
      <w:r w:rsidRPr="004060CE">
        <w:rPr>
          <w:rFonts w:ascii="Arial" w:hAnsi="Arial" w:cs="Arial"/>
          <w:b/>
          <w:bCs/>
          <w:sz w:val="28"/>
          <w:vertAlign w:val="superscript"/>
        </w:rPr>
        <w:t>th</w:t>
      </w:r>
      <w:r>
        <w:rPr>
          <w:rFonts w:ascii="Arial" w:hAnsi="Arial" w:cs="Arial"/>
          <w:b/>
          <w:bCs/>
          <w:sz w:val="28"/>
        </w:rPr>
        <w:t xml:space="preserve"> 2017</w:t>
      </w:r>
    </w:p>
    <w:p w:rsidR="00C97183" w:rsidRPr="00411159" w:rsidRDefault="00C97183" w:rsidP="00C9718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C97183" w:rsidRDefault="00C97183" w:rsidP="00C9718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6A5816">
        <w:rPr>
          <w:rFonts w:eastAsia="PMingLiU"/>
          <w:sz w:val="28"/>
          <w:szCs w:val="28"/>
          <w:lang w:eastAsia="zh-TW"/>
        </w:rPr>
        <w:t>CSI acquisition for reciprocity based operations</w:t>
      </w:r>
    </w:p>
    <w:p w:rsidR="00C97183" w:rsidRPr="003B7EA4" w:rsidRDefault="00C97183" w:rsidP="00C9718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7.1.2.3.3</w:t>
      </w:r>
    </w:p>
    <w:p w:rsidR="00C97183" w:rsidRDefault="00C97183" w:rsidP="00C9718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C97183" w:rsidRPr="00463DBC" w:rsidRDefault="00C97183" w:rsidP="00C9718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C97183" w:rsidRDefault="00C97183" w:rsidP="00C97183">
      <w:pPr>
        <w:pStyle w:val="Heading1"/>
        <w:keepNext w:val="0"/>
        <w:widowControl w:val="0"/>
        <w:numPr>
          <w:ilvl w:val="0"/>
          <w:numId w:val="1"/>
        </w:numPr>
        <w:autoSpaceDE w:val="0"/>
        <w:autoSpaceDN w:val="0"/>
        <w:adjustRightInd w:val="0"/>
        <w:spacing w:before="0" w:after="240"/>
        <w:ind w:left="475" w:hanging="475"/>
        <w:jc w:val="both"/>
        <w:rPr>
          <w:b w:val="0"/>
          <w:sz w:val="32"/>
        </w:rPr>
      </w:pPr>
      <w:r w:rsidRPr="00463DBC">
        <w:rPr>
          <w:b w:val="0"/>
          <w:sz w:val="32"/>
        </w:rPr>
        <w:t>Introduction</w:t>
      </w:r>
    </w:p>
    <w:p w:rsidR="00C97183" w:rsidRDefault="00C97183" w:rsidP="00C97183">
      <w:pPr>
        <w:pStyle w:val="BodyText"/>
      </w:pPr>
      <w:r>
        <w:t>In RAN1 #88bis, the following agreements were reached:</w:t>
      </w:r>
    </w:p>
    <w:p w:rsidR="00C97183" w:rsidRPr="000D6A04" w:rsidRDefault="00C97183" w:rsidP="00C97183">
      <w:pPr>
        <w:rPr>
          <w:rFonts w:eastAsia="Microsoft YaHei"/>
          <w:bCs/>
          <w:szCs w:val="20"/>
        </w:rPr>
      </w:pPr>
      <w:r w:rsidRPr="000D6A04">
        <w:rPr>
          <w:rFonts w:eastAsia="Microsoft YaHei"/>
          <w:bCs/>
          <w:szCs w:val="20"/>
          <w:highlight w:val="green"/>
        </w:rPr>
        <w:t>Agreements</w:t>
      </w:r>
      <w:r w:rsidRPr="000D6A04">
        <w:rPr>
          <w:rFonts w:eastAsia="Microsoft YaHei"/>
          <w:bCs/>
          <w:szCs w:val="20"/>
        </w:rPr>
        <w:t>:</w:t>
      </w:r>
    </w:p>
    <w:p w:rsidR="00C97183" w:rsidRPr="000D6A04" w:rsidRDefault="00C97183" w:rsidP="00C97183">
      <w:pPr>
        <w:numPr>
          <w:ilvl w:val="0"/>
          <w:numId w:val="2"/>
        </w:numPr>
        <w:rPr>
          <w:rFonts w:eastAsia="Microsoft YaHei"/>
          <w:szCs w:val="20"/>
        </w:rPr>
      </w:pPr>
      <w:r w:rsidRPr="000D6A04">
        <w:rPr>
          <w:rFonts w:eastAsia="Microsoft YaHei"/>
          <w:szCs w:val="20"/>
        </w:rPr>
        <w:t xml:space="preserve">At least for full channel reciprocity, support at least the following CSI acquisition scheme based on channel reciprocity in NR </w:t>
      </w:r>
    </w:p>
    <w:p w:rsidR="00C97183" w:rsidRPr="000D6A04" w:rsidRDefault="00C97183" w:rsidP="00C97183">
      <w:pPr>
        <w:numPr>
          <w:ilvl w:val="1"/>
          <w:numId w:val="2"/>
        </w:numPr>
        <w:rPr>
          <w:rFonts w:eastAsia="Microsoft YaHei"/>
          <w:szCs w:val="20"/>
        </w:rPr>
      </w:pPr>
      <w:r w:rsidRPr="000D6A04">
        <w:rPr>
          <w:rFonts w:eastAsia="Microsoft YaHei"/>
          <w:szCs w:val="20"/>
        </w:rPr>
        <w:t>Non-PMI feedback</w:t>
      </w:r>
    </w:p>
    <w:p w:rsidR="00C97183" w:rsidRPr="000D6A04" w:rsidRDefault="00C97183" w:rsidP="00C97183">
      <w:pPr>
        <w:numPr>
          <w:ilvl w:val="2"/>
          <w:numId w:val="2"/>
        </w:numPr>
        <w:rPr>
          <w:rFonts w:eastAsia="Microsoft YaHei"/>
          <w:szCs w:val="20"/>
        </w:rPr>
      </w:pPr>
      <w:r w:rsidRPr="000D6A04">
        <w:rPr>
          <w:rFonts w:eastAsia="Microsoft YaHei"/>
          <w:szCs w:val="20"/>
        </w:rPr>
        <w:t>CSI contains RI and CQI</w:t>
      </w:r>
    </w:p>
    <w:p w:rsidR="00C97183" w:rsidRPr="000D6A04" w:rsidRDefault="00C97183" w:rsidP="00C97183">
      <w:pPr>
        <w:numPr>
          <w:ilvl w:val="2"/>
          <w:numId w:val="2"/>
        </w:numPr>
        <w:rPr>
          <w:rFonts w:eastAsia="Microsoft YaHei"/>
          <w:szCs w:val="20"/>
        </w:rPr>
      </w:pPr>
      <w:r w:rsidRPr="000D6A04">
        <w:rPr>
          <w:rFonts w:eastAsia="Microsoft YaHei"/>
          <w:szCs w:val="20"/>
        </w:rPr>
        <w:t>CQI depends on RI and PMI which are selected from a codebook (potentially with restriction) but PMI is not fed back.</w:t>
      </w:r>
    </w:p>
    <w:p w:rsidR="00C97183" w:rsidRPr="000D6A04" w:rsidRDefault="00C97183" w:rsidP="00C97183">
      <w:pPr>
        <w:numPr>
          <w:ilvl w:val="3"/>
          <w:numId w:val="2"/>
        </w:numPr>
        <w:rPr>
          <w:rFonts w:eastAsia="Microsoft YaHei"/>
          <w:szCs w:val="20"/>
        </w:rPr>
      </w:pPr>
      <w:r w:rsidRPr="000D6A04">
        <w:rPr>
          <w:rFonts w:eastAsia="Microsoft YaHei"/>
          <w:szCs w:val="20"/>
        </w:rPr>
        <w:t xml:space="preserve">FFS UE may also calculate RI and CQI directly with estimated channel, FFS spec impact </w:t>
      </w:r>
    </w:p>
    <w:p w:rsidR="00C97183" w:rsidRPr="000D6A04" w:rsidRDefault="00C97183" w:rsidP="00C97183">
      <w:pPr>
        <w:numPr>
          <w:ilvl w:val="3"/>
          <w:numId w:val="2"/>
        </w:numPr>
        <w:rPr>
          <w:rFonts w:eastAsia="Microsoft YaHei"/>
          <w:szCs w:val="20"/>
        </w:rPr>
      </w:pPr>
      <w:r w:rsidRPr="000D6A04">
        <w:rPr>
          <w:rFonts w:eastAsia="Microsoft YaHei"/>
          <w:szCs w:val="20"/>
        </w:rPr>
        <w:t>FFS codebook details, including how to signal</w:t>
      </w:r>
    </w:p>
    <w:p w:rsidR="00C97183" w:rsidRPr="000D6A04" w:rsidRDefault="00C97183" w:rsidP="00C97183">
      <w:pPr>
        <w:numPr>
          <w:ilvl w:val="1"/>
          <w:numId w:val="2"/>
        </w:numPr>
        <w:rPr>
          <w:rFonts w:eastAsia="Microsoft YaHei"/>
          <w:szCs w:val="20"/>
        </w:rPr>
      </w:pPr>
      <w:r w:rsidRPr="000D6A04">
        <w:rPr>
          <w:rFonts w:eastAsia="Microsoft YaHei"/>
          <w:szCs w:val="20"/>
        </w:rPr>
        <w:t>FFS other schemes (e.g., explicit interference feedback, etc.)</w:t>
      </w:r>
    </w:p>
    <w:p w:rsidR="00C97183" w:rsidRDefault="00C97183" w:rsidP="00C97183">
      <w:pPr>
        <w:rPr>
          <w:szCs w:val="20"/>
        </w:rPr>
      </w:pPr>
    </w:p>
    <w:p w:rsidR="00C97183" w:rsidRPr="00021966" w:rsidRDefault="00C97183" w:rsidP="00C97183">
      <w:pPr>
        <w:rPr>
          <w:rFonts w:eastAsia="Microsoft YaHei"/>
          <w:szCs w:val="20"/>
        </w:rPr>
      </w:pPr>
      <w:r w:rsidRPr="00021966">
        <w:rPr>
          <w:rFonts w:eastAsia="Microsoft YaHei"/>
          <w:szCs w:val="20"/>
          <w:highlight w:val="green"/>
        </w:rPr>
        <w:t>Agreements</w:t>
      </w:r>
      <w:r w:rsidRPr="00021966">
        <w:rPr>
          <w:rFonts w:eastAsia="Microsoft YaHei"/>
          <w:szCs w:val="20"/>
        </w:rPr>
        <w:t>:</w:t>
      </w:r>
    </w:p>
    <w:p w:rsidR="00C97183" w:rsidRPr="00021966" w:rsidRDefault="00C97183" w:rsidP="00C97183">
      <w:pPr>
        <w:numPr>
          <w:ilvl w:val="0"/>
          <w:numId w:val="3"/>
        </w:numPr>
        <w:rPr>
          <w:rFonts w:eastAsia="Microsoft YaHei"/>
          <w:szCs w:val="20"/>
        </w:rPr>
      </w:pPr>
      <w:r w:rsidRPr="00021966">
        <w:rPr>
          <w:rFonts w:eastAsia="Microsoft YaHei"/>
          <w:szCs w:val="20"/>
        </w:rPr>
        <w:t>For the case of non-ideal channel reciprocity (e.g., less Tx ports than Rx ports at UE), study and evaluate at least the following candidate schemes</w:t>
      </w:r>
    </w:p>
    <w:p w:rsidR="00C97183" w:rsidRPr="00021966" w:rsidRDefault="00C97183" w:rsidP="00C97183">
      <w:pPr>
        <w:numPr>
          <w:ilvl w:val="1"/>
          <w:numId w:val="3"/>
        </w:numPr>
        <w:rPr>
          <w:rFonts w:eastAsia="Microsoft YaHei"/>
          <w:szCs w:val="20"/>
        </w:rPr>
      </w:pPr>
      <w:r w:rsidRPr="00021966">
        <w:rPr>
          <w:rFonts w:eastAsia="Microsoft YaHei"/>
          <w:szCs w:val="20"/>
        </w:rPr>
        <w:t>Scheme 1 (Baseline for performance comparison): Non-PMI feedback</w:t>
      </w:r>
    </w:p>
    <w:p w:rsidR="00C97183" w:rsidRPr="00021966" w:rsidRDefault="00C97183" w:rsidP="00C97183">
      <w:pPr>
        <w:numPr>
          <w:ilvl w:val="2"/>
          <w:numId w:val="3"/>
        </w:numPr>
        <w:rPr>
          <w:rFonts w:eastAsia="Microsoft YaHei"/>
          <w:szCs w:val="20"/>
        </w:rPr>
      </w:pPr>
      <w:r w:rsidRPr="00021966">
        <w:rPr>
          <w:rFonts w:eastAsia="Microsoft YaHei"/>
          <w:szCs w:val="20"/>
        </w:rPr>
        <w:t>Each company states the assumed scheme for non-PMI feedback</w:t>
      </w:r>
    </w:p>
    <w:p w:rsidR="00C97183" w:rsidRPr="00021966" w:rsidRDefault="00C97183" w:rsidP="00C97183">
      <w:pPr>
        <w:numPr>
          <w:ilvl w:val="1"/>
          <w:numId w:val="3"/>
        </w:numPr>
        <w:rPr>
          <w:rFonts w:eastAsia="Microsoft YaHei"/>
          <w:szCs w:val="20"/>
        </w:rPr>
      </w:pPr>
      <w:r w:rsidRPr="00021966">
        <w:rPr>
          <w:rFonts w:eastAsia="Microsoft YaHei"/>
          <w:szCs w:val="20"/>
        </w:rPr>
        <w:t xml:space="preserve">Scheme 2: Partial CSI feedback for gNB to acquire full CSI </w:t>
      </w:r>
    </w:p>
    <w:p w:rsidR="00C97183" w:rsidRPr="00021966" w:rsidRDefault="00C97183" w:rsidP="00C97183">
      <w:pPr>
        <w:numPr>
          <w:ilvl w:val="2"/>
          <w:numId w:val="3"/>
        </w:numPr>
        <w:rPr>
          <w:rFonts w:eastAsia="Microsoft YaHei"/>
          <w:szCs w:val="20"/>
        </w:rPr>
      </w:pPr>
      <w:r w:rsidRPr="00021966">
        <w:rPr>
          <w:rFonts w:eastAsia="Microsoft YaHei"/>
          <w:szCs w:val="20"/>
        </w:rPr>
        <w:t>Partial CSI is the information of the partial DL channel (e.g. partial DL channel vector/matrix or partial DL channel covariance matrix) with no reciprocal UL transmission due to the absence of Tx ports corresponding to the Rx ports at UE</w:t>
      </w:r>
    </w:p>
    <w:p w:rsidR="00C97183" w:rsidRPr="00021966" w:rsidRDefault="00C97183" w:rsidP="00C97183">
      <w:pPr>
        <w:numPr>
          <w:ilvl w:val="1"/>
          <w:numId w:val="3"/>
        </w:numPr>
        <w:rPr>
          <w:rFonts w:eastAsia="Microsoft YaHei"/>
          <w:szCs w:val="20"/>
        </w:rPr>
      </w:pPr>
      <w:r w:rsidRPr="00021966">
        <w:rPr>
          <w:rFonts w:eastAsia="Microsoft YaHei"/>
          <w:szCs w:val="20"/>
        </w:rPr>
        <w:t>Scheme 3: CSI feedback with non-precoded/beamformed CSI-RS including CQI, RI and PMI</w:t>
      </w:r>
    </w:p>
    <w:p w:rsidR="00C97183" w:rsidRPr="00021966" w:rsidRDefault="00C97183" w:rsidP="00C97183">
      <w:pPr>
        <w:numPr>
          <w:ilvl w:val="2"/>
          <w:numId w:val="3"/>
        </w:numPr>
        <w:rPr>
          <w:rFonts w:eastAsia="Microsoft YaHei"/>
          <w:szCs w:val="20"/>
        </w:rPr>
      </w:pPr>
      <w:r w:rsidRPr="00021966">
        <w:rPr>
          <w:rFonts w:eastAsia="Microsoft YaHei"/>
          <w:szCs w:val="20"/>
        </w:rPr>
        <w:t>For beamformed CSI-RS, precoding matrix is determined from CSI available at base station from SRS transmission</w:t>
      </w:r>
    </w:p>
    <w:p w:rsidR="00C97183" w:rsidRPr="00021966" w:rsidRDefault="00C97183" w:rsidP="00C97183">
      <w:pPr>
        <w:numPr>
          <w:ilvl w:val="2"/>
          <w:numId w:val="3"/>
        </w:numPr>
        <w:rPr>
          <w:rFonts w:eastAsia="Microsoft YaHei"/>
          <w:szCs w:val="20"/>
        </w:rPr>
      </w:pPr>
      <w:r w:rsidRPr="00021966">
        <w:rPr>
          <w:rFonts w:eastAsia="Microsoft YaHei"/>
          <w:szCs w:val="20"/>
        </w:rPr>
        <w:t>PMI could be for a linear combination codebook</w:t>
      </w:r>
    </w:p>
    <w:p w:rsidR="00C97183" w:rsidRPr="00021966" w:rsidRDefault="00C97183" w:rsidP="00C97183">
      <w:pPr>
        <w:numPr>
          <w:ilvl w:val="1"/>
          <w:numId w:val="3"/>
        </w:numPr>
        <w:rPr>
          <w:rFonts w:eastAsia="Microsoft YaHei"/>
          <w:szCs w:val="20"/>
        </w:rPr>
      </w:pPr>
      <w:r w:rsidRPr="00021966">
        <w:rPr>
          <w:rFonts w:eastAsia="Microsoft YaHei"/>
          <w:szCs w:val="20"/>
        </w:rPr>
        <w:t>Scheme 4: SRS switching</w:t>
      </w:r>
    </w:p>
    <w:p w:rsidR="00C97183" w:rsidRPr="00021966" w:rsidRDefault="00C97183" w:rsidP="00C97183">
      <w:pPr>
        <w:numPr>
          <w:ilvl w:val="2"/>
          <w:numId w:val="3"/>
        </w:numPr>
        <w:rPr>
          <w:rFonts w:eastAsia="Microsoft YaHei"/>
          <w:szCs w:val="20"/>
        </w:rPr>
      </w:pPr>
      <w:r w:rsidRPr="00021966">
        <w:rPr>
          <w:rFonts w:eastAsia="Microsoft YaHei"/>
          <w:szCs w:val="20"/>
        </w:rPr>
        <w:t>SRS switching is used to obtain full channel information by multiple SRS transmission instants. Non-PMI CSI feedback can be used along with SRS switching</w:t>
      </w:r>
    </w:p>
    <w:p w:rsidR="00C97183" w:rsidRPr="00021966" w:rsidRDefault="00C97183" w:rsidP="00C97183">
      <w:pPr>
        <w:numPr>
          <w:ilvl w:val="2"/>
          <w:numId w:val="3"/>
        </w:numPr>
        <w:rPr>
          <w:rFonts w:eastAsia="Microsoft YaHei"/>
          <w:szCs w:val="20"/>
        </w:rPr>
      </w:pPr>
      <w:r w:rsidRPr="00021966">
        <w:rPr>
          <w:rFonts w:eastAsia="Microsoft YaHei"/>
          <w:szCs w:val="20"/>
        </w:rPr>
        <w:t>Taking into account practical impairments in implementation (e.g., PLL accuracy, insertion loss, power imbalance, etc.)</w:t>
      </w:r>
    </w:p>
    <w:p w:rsidR="00C97183" w:rsidRPr="00021966" w:rsidRDefault="00C97183" w:rsidP="00C97183">
      <w:pPr>
        <w:numPr>
          <w:ilvl w:val="1"/>
          <w:numId w:val="3"/>
        </w:numPr>
        <w:spacing w:before="120" w:afterLines="50" w:after="120" w:line="276" w:lineRule="auto"/>
        <w:jc w:val="both"/>
        <w:rPr>
          <w:rFonts w:hAnsi="SimSun"/>
          <w:szCs w:val="20"/>
        </w:rPr>
      </w:pPr>
      <w:r w:rsidRPr="00021966">
        <w:rPr>
          <w:rFonts w:hAnsi="SimSun"/>
          <w:szCs w:val="20"/>
        </w:rPr>
        <w:t>Scheme 5: Non-uniform beam sampling on codebook</w:t>
      </w:r>
    </w:p>
    <w:p w:rsidR="00C97183" w:rsidRPr="00021966" w:rsidRDefault="00C97183" w:rsidP="00C97183">
      <w:pPr>
        <w:numPr>
          <w:ilvl w:val="2"/>
          <w:numId w:val="3"/>
        </w:numPr>
        <w:spacing w:before="120" w:afterLines="50" w:after="120" w:line="276" w:lineRule="auto"/>
        <w:jc w:val="both"/>
        <w:rPr>
          <w:rFonts w:hAnsi="SimSun"/>
          <w:szCs w:val="20"/>
        </w:rPr>
      </w:pPr>
      <w:r w:rsidRPr="00021966">
        <w:rPr>
          <w:rFonts w:hAnsi="SimSun"/>
          <w:szCs w:val="20"/>
        </w:rPr>
        <w:t>Configure different spatial resolutions in different spatial domain by CSR</w:t>
      </w:r>
    </w:p>
    <w:p w:rsidR="00C97183" w:rsidRPr="00021966" w:rsidRDefault="00C97183" w:rsidP="00C97183">
      <w:pPr>
        <w:numPr>
          <w:ilvl w:val="1"/>
          <w:numId w:val="3"/>
        </w:numPr>
        <w:rPr>
          <w:rFonts w:eastAsia="Microsoft YaHei"/>
          <w:szCs w:val="20"/>
        </w:rPr>
      </w:pPr>
      <w:r w:rsidRPr="00021966">
        <w:rPr>
          <w:rFonts w:eastAsia="Microsoft YaHei"/>
          <w:szCs w:val="20"/>
        </w:rPr>
        <w:t>Combination of the above schemes can be considered</w:t>
      </w:r>
    </w:p>
    <w:p w:rsidR="00C97183" w:rsidRPr="00021966" w:rsidRDefault="00C97183" w:rsidP="00C97183">
      <w:pPr>
        <w:numPr>
          <w:ilvl w:val="1"/>
          <w:numId w:val="3"/>
        </w:numPr>
        <w:rPr>
          <w:rFonts w:eastAsia="Microsoft YaHei"/>
          <w:szCs w:val="20"/>
        </w:rPr>
      </w:pPr>
      <w:r w:rsidRPr="00021966">
        <w:rPr>
          <w:rFonts w:eastAsia="Microsoft YaHei"/>
          <w:szCs w:val="20"/>
        </w:rPr>
        <w:t>Note: both performance and overhead should be considered when comparing the above schemes</w:t>
      </w:r>
    </w:p>
    <w:p w:rsidR="00C97183" w:rsidRPr="00021966" w:rsidRDefault="00C97183" w:rsidP="00C97183">
      <w:pPr>
        <w:numPr>
          <w:ilvl w:val="0"/>
          <w:numId w:val="3"/>
        </w:numPr>
        <w:rPr>
          <w:rFonts w:eastAsia="Microsoft YaHei"/>
          <w:szCs w:val="20"/>
        </w:rPr>
      </w:pPr>
      <w:r w:rsidRPr="00021966">
        <w:rPr>
          <w:rFonts w:eastAsia="Microsoft YaHei"/>
          <w:szCs w:val="20"/>
        </w:rPr>
        <w:t xml:space="preserve">Simulation parameters are provided on slide 4 of </w:t>
      </w:r>
      <w:hyperlink r:id="rId5" w:history="1">
        <w:r>
          <w:rPr>
            <w:rStyle w:val="Hyperlink"/>
            <w:rFonts w:eastAsia="Microsoft YaHei"/>
            <w:szCs w:val="20"/>
          </w:rPr>
          <w:t>R1-1706809</w:t>
        </w:r>
      </w:hyperlink>
      <w:r w:rsidRPr="00021966">
        <w:rPr>
          <w:rFonts w:eastAsia="Microsoft YaHei"/>
          <w:szCs w:val="20"/>
        </w:rPr>
        <w:t xml:space="preserve"> with the following update</w:t>
      </w:r>
    </w:p>
    <w:p w:rsidR="00C97183" w:rsidRPr="00021966" w:rsidRDefault="00C97183" w:rsidP="00C97183">
      <w:pPr>
        <w:numPr>
          <w:ilvl w:val="1"/>
          <w:numId w:val="3"/>
        </w:numPr>
        <w:rPr>
          <w:rFonts w:eastAsia="Microsoft YaHei"/>
          <w:szCs w:val="20"/>
        </w:rPr>
      </w:pPr>
      <w:r w:rsidRPr="00021966">
        <w:rPr>
          <w:rFonts w:eastAsia="Microsoft YaHei"/>
          <w:szCs w:val="20"/>
        </w:rPr>
        <w:t>Adding “2Tx2Rx” to “UE antenna configuration”</w:t>
      </w:r>
    </w:p>
    <w:p w:rsidR="00C97183" w:rsidRPr="00021966" w:rsidRDefault="00C97183" w:rsidP="00C97183">
      <w:pPr>
        <w:numPr>
          <w:ilvl w:val="1"/>
          <w:numId w:val="3"/>
        </w:numPr>
        <w:rPr>
          <w:rFonts w:eastAsia="Microsoft YaHei"/>
          <w:szCs w:val="20"/>
        </w:rPr>
      </w:pPr>
      <w:r w:rsidRPr="00021966">
        <w:rPr>
          <w:rFonts w:eastAsia="Microsoft YaHei"/>
          <w:szCs w:val="20"/>
        </w:rPr>
        <w:t>Change “2GHz” to “4GHz” in “Carrier frequency”</w:t>
      </w:r>
    </w:p>
    <w:p w:rsidR="00C97183" w:rsidRPr="00021966" w:rsidRDefault="00C97183" w:rsidP="00C97183">
      <w:pPr>
        <w:numPr>
          <w:ilvl w:val="1"/>
          <w:numId w:val="3"/>
        </w:numPr>
        <w:rPr>
          <w:rFonts w:eastAsia="Microsoft YaHei"/>
          <w:szCs w:val="20"/>
        </w:rPr>
      </w:pPr>
      <w:r w:rsidRPr="00021966">
        <w:rPr>
          <w:rFonts w:eastAsia="Microsoft YaHei"/>
          <w:szCs w:val="20"/>
        </w:rPr>
        <w:t>Companies describe the assumed UL-DL calibration model, striving for a common model</w:t>
      </w:r>
    </w:p>
    <w:p w:rsidR="00C97183" w:rsidRPr="00021966" w:rsidRDefault="00C97183" w:rsidP="00C97183">
      <w:pPr>
        <w:numPr>
          <w:ilvl w:val="0"/>
          <w:numId w:val="3"/>
        </w:numPr>
        <w:rPr>
          <w:rFonts w:eastAsia="Microsoft YaHei"/>
          <w:szCs w:val="20"/>
        </w:rPr>
      </w:pPr>
      <w:r w:rsidRPr="00021966">
        <w:rPr>
          <w:rFonts w:eastAsia="Microsoft YaHei"/>
          <w:szCs w:val="20"/>
        </w:rPr>
        <w:lastRenderedPageBreak/>
        <w:t>Companies are encouraged to provide the simulation results in next meeting</w:t>
      </w:r>
    </w:p>
    <w:p w:rsidR="00C97183" w:rsidRDefault="00C97183" w:rsidP="00C97183">
      <w:pPr>
        <w:jc w:val="both"/>
        <w:rPr>
          <w:rFonts w:eastAsia="MS Mincho"/>
          <w:szCs w:val="20"/>
          <w:lang w:eastAsia="ja-JP"/>
        </w:rPr>
      </w:pPr>
    </w:p>
    <w:p w:rsidR="00C97183" w:rsidRDefault="00C97183" w:rsidP="00C97183">
      <w:pPr>
        <w:jc w:val="both"/>
        <w:rPr>
          <w:rFonts w:eastAsia="MS Mincho"/>
          <w:szCs w:val="20"/>
          <w:lang w:eastAsia="ja-JP"/>
        </w:rPr>
      </w:pPr>
      <w:r>
        <w:rPr>
          <w:rFonts w:eastAsia="MS Mincho"/>
          <w:szCs w:val="20"/>
          <w:lang w:eastAsia="ja-JP"/>
        </w:rPr>
        <w:t xml:space="preserve">In this contribution, we provide our views on CSI acquisition for reciprocity based operation.   </w:t>
      </w:r>
      <w:bookmarkStart w:id="2" w:name="OLE_LINK10"/>
      <w:bookmarkStart w:id="3" w:name="OLE_LINK11"/>
      <w:bookmarkStart w:id="4" w:name="OLE_LINK6"/>
      <w:bookmarkStart w:id="5" w:name="OLE_LINK7"/>
      <w:bookmarkEnd w:id="0"/>
    </w:p>
    <w:p w:rsidR="00C97183" w:rsidRPr="00674D9C" w:rsidRDefault="00C97183" w:rsidP="00C97183">
      <w:pPr>
        <w:jc w:val="both"/>
        <w:rPr>
          <w:rFonts w:eastAsia="MS Mincho"/>
          <w:szCs w:val="20"/>
          <w:lang w:eastAsia="ja-JP"/>
        </w:rPr>
      </w:pPr>
    </w:p>
    <w:p w:rsidR="00C97183" w:rsidRPr="00463DBC" w:rsidRDefault="00C97183" w:rsidP="00C97183">
      <w:pPr>
        <w:rPr>
          <w:kern w:val="2"/>
          <w:lang w:eastAsia="zh-TW"/>
        </w:rPr>
      </w:pPr>
      <w:r>
        <w:rPr>
          <w:sz w:val="28"/>
          <w:szCs w:val="28"/>
        </w:rPr>
        <w:pict>
          <v:rect id="_x0000_i1026" style="width:482.4pt;height:1.5pt" o:hralign="center" o:hrstd="t" o:hrnoshade="t" o:hr="t" fillcolor="black" stroked="f"/>
        </w:pict>
      </w:r>
      <w:bookmarkEnd w:id="2"/>
      <w:bookmarkEnd w:id="3"/>
    </w:p>
    <w:bookmarkEnd w:id="4"/>
    <w:bookmarkEnd w:id="5"/>
    <w:p w:rsidR="00C97183" w:rsidRDefault="00C97183" w:rsidP="00C97183">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Schemes for partial CSI feedback</w:t>
      </w:r>
    </w:p>
    <w:p w:rsidR="00C97183" w:rsidRDefault="00C97183" w:rsidP="00C97183">
      <w:pPr>
        <w:tabs>
          <w:tab w:val="center" w:pos="4800"/>
          <w:tab w:val="right" w:pos="9500"/>
        </w:tabs>
        <w:jc w:val="both"/>
        <w:rPr>
          <w:noProof/>
        </w:rPr>
      </w:pPr>
      <w:r>
        <w:rPr>
          <w:noProof/>
        </w:rPr>
        <w:t>In this contribution, we consider CSI acquisition aided by partial CSI from SRS transmission. In general, hybrid CSI can be considered in this setup. The partial CSI provided by SRS transmission can be put to good use.</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We consider a 2D antenna array at base station with antennas divided into two groups according to polarization. In the example below, with 8 pairs of cross-pol antennas at base station: </w:t>
      </w:r>
    </w:p>
    <w:p w:rsidR="00C97183" w:rsidRDefault="00C97183" w:rsidP="00C97183">
      <w:pPr>
        <w:tabs>
          <w:tab w:val="center" w:pos="4800"/>
          <w:tab w:val="right" w:pos="9500"/>
        </w:tabs>
        <w:ind w:firstLine="720"/>
        <w:rPr>
          <w:noProof/>
        </w:rPr>
      </w:pPr>
      <w:r>
        <w:rPr>
          <w:noProof/>
        </w:rPr>
        <w:tab/>
      </w:r>
      <w:r>
        <w:rPr>
          <w:noProof/>
          <w:position w:val="-30"/>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95pt;height:36pt" o:ole="">
            <v:imagedata r:id="rId6" o:title=""/>
          </v:shape>
          <o:OLEObject Type="Embed" ProgID="Equation.3" ShapeID="_x0000_i1027" DrawAspect="Content" ObjectID="_1555501319" r:id="rId7"/>
        </w:object>
      </w:r>
    </w:p>
    <w:p w:rsidR="00C97183" w:rsidRDefault="00C97183" w:rsidP="00C97183">
      <w:pPr>
        <w:tabs>
          <w:tab w:val="center" w:pos="4800"/>
          <w:tab w:val="right" w:pos="9500"/>
        </w:tabs>
        <w:jc w:val="both"/>
        <w:rPr>
          <w:noProof/>
        </w:rPr>
      </w:pPr>
      <w:r>
        <w:rPr>
          <w:noProof/>
        </w:rPr>
        <w:t>antennas 1-8 form one group, and antennas 9-16 form another group.</w:t>
      </w:r>
    </w:p>
    <w:p w:rsidR="00C97183" w:rsidRPr="009157F4" w:rsidRDefault="00C97183" w:rsidP="00C97183">
      <w:pPr>
        <w:pStyle w:val="BodyText"/>
        <w:rPr>
          <w:lang w:eastAsia="zh-TW"/>
        </w:rPr>
      </w:pPr>
    </w:p>
    <w:p w:rsidR="00C97183" w:rsidRPr="001F5057" w:rsidRDefault="00C97183" w:rsidP="00C97183">
      <w:pPr>
        <w:pStyle w:val="Heading1"/>
        <w:keepNext w:val="0"/>
        <w:widowControl w:val="0"/>
        <w:numPr>
          <w:ilvl w:val="1"/>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1Tx and 2 Rx at UE</w:t>
      </w:r>
    </w:p>
    <w:p w:rsidR="00C97183" w:rsidRDefault="00C97183" w:rsidP="00C97183">
      <w:pPr>
        <w:tabs>
          <w:tab w:val="center" w:pos="4800"/>
          <w:tab w:val="right" w:pos="9500"/>
        </w:tabs>
        <w:jc w:val="both"/>
        <w:rPr>
          <w:noProof/>
        </w:rPr>
      </w:pPr>
      <w:r>
        <w:rPr>
          <w:noProof/>
        </w:rPr>
        <w:t xml:space="preserve">At UE side, first we assume a pair of cross pol antennas is </w:t>
      </w:r>
      <w:r>
        <w:rPr>
          <w:noProof/>
          <w:position w:val="-10"/>
        </w:rPr>
        <w:object w:dxaOrig="279" w:dyaOrig="360">
          <v:shape id="_x0000_i1028" type="#_x0000_t75" style="width:13.95pt;height:17.75pt" o:ole="">
            <v:imagedata r:id="rId8" o:title=""/>
          </v:shape>
          <o:OLEObject Type="Embed" ProgID="Equation.3" ShapeID="_x0000_i1028" DrawAspect="Content" ObjectID="_1555501320" r:id="rId9"/>
        </w:object>
      </w:r>
      <w:r>
        <w:rPr>
          <w:noProof/>
        </w:rPr>
        <w:t xml:space="preserve"> is used. The receiver model is given by</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ind w:firstLine="720"/>
        <w:rPr>
          <w:noProof/>
        </w:rPr>
      </w:pPr>
      <w:r>
        <w:rPr>
          <w:noProof/>
        </w:rPr>
        <w:tab/>
      </w:r>
      <w:r>
        <w:rPr>
          <w:noProof/>
          <w:position w:val="-32"/>
        </w:rPr>
        <w:object w:dxaOrig="2439" w:dyaOrig="760">
          <v:shape id="_x0000_i1029" type="#_x0000_t75" style="width:121.95pt;height:38.15pt" o:ole="">
            <v:imagedata r:id="rId10" o:title=""/>
          </v:shape>
          <o:OLEObject Type="Embed" ProgID="Equation.3" ShapeID="_x0000_i1029" DrawAspect="Content" ObjectID="_1555501321" r:id="rId11"/>
        </w:object>
      </w:r>
    </w:p>
    <w:p w:rsidR="00C97183" w:rsidRDefault="00C97183" w:rsidP="00C97183">
      <w:pPr>
        <w:tabs>
          <w:tab w:val="center" w:pos="4800"/>
          <w:tab w:val="right" w:pos="9500"/>
        </w:tabs>
        <w:jc w:val="both"/>
        <w:rPr>
          <w:noProof/>
        </w:rPr>
      </w:pPr>
      <w:r>
        <w:rPr>
          <w:noProof/>
        </w:rPr>
        <w:t xml:space="preserve">where </w:t>
      </w:r>
      <w:r>
        <w:rPr>
          <w:noProof/>
          <w:position w:val="-4"/>
        </w:rPr>
        <w:object w:dxaOrig="180" w:dyaOrig="200">
          <v:shape id="_x0000_i1030" type="#_x0000_t75" style="width:9.15pt;height:9.65pt" o:ole="">
            <v:imagedata r:id="rId12" o:title=""/>
          </v:shape>
          <o:OLEObject Type="Embed" ProgID="Equation.3" ShapeID="_x0000_i1030" DrawAspect="Content" ObjectID="_1555501322" r:id="rId13"/>
        </w:object>
      </w:r>
      <w:r>
        <w:rPr>
          <w:noProof/>
        </w:rPr>
        <w:t xml:space="preserve"> is </w:t>
      </w:r>
      <w:r>
        <w:rPr>
          <w:noProof/>
          <w:position w:val="-4"/>
        </w:rPr>
        <w:object w:dxaOrig="460" w:dyaOrig="260">
          <v:shape id="_x0000_i1031" type="#_x0000_t75" style="width:23.1pt;height:12.9pt" o:ole="">
            <v:imagedata r:id="rId14" o:title=""/>
          </v:shape>
          <o:OLEObject Type="Embed" ProgID="Equation.3" ShapeID="_x0000_i1031" DrawAspect="Content" ObjectID="_1555501323" r:id="rId15"/>
        </w:object>
      </w:r>
      <w:r>
        <w:rPr>
          <w:noProof/>
        </w:rPr>
        <w:t xml:space="preserve">, and </w:t>
      </w:r>
      <w:r>
        <w:rPr>
          <w:noProof/>
          <w:position w:val="-10"/>
        </w:rPr>
        <w:object w:dxaOrig="400" w:dyaOrig="340">
          <v:shape id="_x0000_i1032" type="#_x0000_t75" style="width:19.9pt;height:17.2pt" o:ole="">
            <v:imagedata r:id="rId16" o:title=""/>
          </v:shape>
          <o:OLEObject Type="Embed" ProgID="Equation.3" ShapeID="_x0000_i1032" DrawAspect="Content" ObjectID="_1555501324" r:id="rId17"/>
        </w:object>
      </w:r>
      <w:r>
        <w:rPr>
          <w:noProof/>
        </w:rPr>
        <w:t xml:space="preserve">, a </w:t>
      </w:r>
      <w:r>
        <w:rPr>
          <w:noProof/>
          <w:position w:val="-6"/>
        </w:rPr>
        <w:object w:dxaOrig="440" w:dyaOrig="279">
          <v:shape id="_x0000_i1033" type="#_x0000_t75" style="width:22.05pt;height:13.95pt" o:ole="">
            <v:imagedata r:id="rId18" o:title=""/>
          </v:shape>
          <o:OLEObject Type="Embed" ProgID="Equation.3" ShapeID="_x0000_i1033" DrawAspect="Content" ObjectID="_1555501325" r:id="rId19"/>
        </w:object>
      </w:r>
      <w:r>
        <w:rPr>
          <w:noProof/>
        </w:rPr>
        <w:t xml:space="preserve"> matrix, is the channel response between UE antenna 1 and base station antennas 1-8, </w:t>
      </w:r>
      <w:r>
        <w:rPr>
          <w:noProof/>
          <w:position w:val="-10"/>
        </w:rPr>
        <w:object w:dxaOrig="400" w:dyaOrig="340">
          <v:shape id="_x0000_i1034" type="#_x0000_t75" style="width:19.9pt;height:17.2pt" o:ole="">
            <v:imagedata r:id="rId20" o:title=""/>
          </v:shape>
          <o:OLEObject Type="Embed" ProgID="Equation.3" ShapeID="_x0000_i1034" DrawAspect="Content" ObjectID="_1555501326" r:id="rId21"/>
        </w:object>
      </w:r>
      <w:r>
        <w:rPr>
          <w:noProof/>
        </w:rPr>
        <w:t xml:space="preserve">, a </w:t>
      </w:r>
      <w:r>
        <w:rPr>
          <w:noProof/>
          <w:position w:val="-6"/>
        </w:rPr>
        <w:object w:dxaOrig="440" w:dyaOrig="279">
          <v:shape id="_x0000_i1035" type="#_x0000_t75" style="width:22.05pt;height:13.95pt" o:ole="">
            <v:imagedata r:id="rId22" o:title=""/>
          </v:shape>
          <o:OLEObject Type="Embed" ProgID="Equation.3" ShapeID="_x0000_i1035" DrawAspect="Content" ObjectID="_1555501327" r:id="rId23"/>
        </w:object>
      </w:r>
      <w:r>
        <w:rPr>
          <w:noProof/>
        </w:rPr>
        <w:t xml:space="preserve"> matrix, is the channel response between UE antenna 1 and base station antennas 9-16, </w:t>
      </w:r>
      <w:r>
        <w:rPr>
          <w:noProof/>
          <w:position w:val="-10"/>
        </w:rPr>
        <w:object w:dxaOrig="420" w:dyaOrig="340">
          <v:shape id="_x0000_i1036" type="#_x0000_t75" style="width:20.95pt;height:17.2pt" o:ole="">
            <v:imagedata r:id="rId24" o:title=""/>
          </v:shape>
          <o:OLEObject Type="Embed" ProgID="Equation.3" ShapeID="_x0000_i1036" DrawAspect="Content" ObjectID="_1555501328" r:id="rId25"/>
        </w:object>
      </w:r>
      <w:r>
        <w:rPr>
          <w:noProof/>
        </w:rPr>
        <w:t xml:space="preserve">, a </w:t>
      </w:r>
      <w:r>
        <w:rPr>
          <w:noProof/>
          <w:position w:val="-6"/>
        </w:rPr>
        <w:object w:dxaOrig="440" w:dyaOrig="279">
          <v:shape id="_x0000_i1037" type="#_x0000_t75" style="width:22.05pt;height:13.95pt" o:ole="">
            <v:imagedata r:id="rId26" o:title=""/>
          </v:shape>
          <o:OLEObject Type="Embed" ProgID="Equation.3" ShapeID="_x0000_i1037" DrawAspect="Content" ObjectID="_1555501329" r:id="rId27"/>
        </w:object>
      </w:r>
      <w:r>
        <w:rPr>
          <w:noProof/>
        </w:rPr>
        <w:t xml:space="preserve"> matrix, is the channel response between UE antenna 2 and base station antennas 1-8, </w:t>
      </w:r>
      <w:r>
        <w:rPr>
          <w:noProof/>
          <w:position w:val="-10"/>
        </w:rPr>
        <w:object w:dxaOrig="420" w:dyaOrig="340">
          <v:shape id="_x0000_i1038" type="#_x0000_t75" style="width:20.95pt;height:17.2pt" o:ole="">
            <v:imagedata r:id="rId28" o:title=""/>
          </v:shape>
          <o:OLEObject Type="Embed" ProgID="Equation.3" ShapeID="_x0000_i1038" DrawAspect="Content" ObjectID="_1555501330" r:id="rId29"/>
        </w:object>
      </w:r>
      <w:r>
        <w:rPr>
          <w:noProof/>
        </w:rPr>
        <w:t xml:space="preserve">, a </w:t>
      </w:r>
      <w:r>
        <w:rPr>
          <w:noProof/>
          <w:position w:val="-6"/>
        </w:rPr>
        <w:object w:dxaOrig="440" w:dyaOrig="279">
          <v:shape id="_x0000_i1039" type="#_x0000_t75" style="width:22.05pt;height:13.95pt" o:ole="">
            <v:imagedata r:id="rId30" o:title=""/>
          </v:shape>
          <o:OLEObject Type="Embed" ProgID="Equation.3" ShapeID="_x0000_i1039" DrawAspect="Content" ObjectID="_1555501331" r:id="rId31"/>
        </w:object>
      </w:r>
      <w:r>
        <w:rPr>
          <w:noProof/>
        </w:rPr>
        <w:t xml:space="preserve"> matrix, is the channel response between UE antenna 2 and base station antennas 9-16.</w:t>
      </w:r>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 xml:space="preserve">From SRS transmission at UE antenna 1, </w:t>
      </w:r>
      <w:r>
        <w:rPr>
          <w:noProof/>
          <w:position w:val="-10"/>
        </w:rPr>
        <w:object w:dxaOrig="400" w:dyaOrig="340">
          <v:shape id="_x0000_i1040" type="#_x0000_t75" style="width:19.9pt;height:17.2pt" o:ole="">
            <v:imagedata r:id="rId32" o:title=""/>
          </v:shape>
          <o:OLEObject Type="Embed" ProgID="Equation.3" ShapeID="_x0000_i1040" DrawAspect="Content" ObjectID="_1555501332" r:id="rId33"/>
        </w:object>
      </w:r>
      <w:r>
        <w:rPr>
          <w:noProof/>
        </w:rPr>
        <w:t xml:space="preserve"> and </w:t>
      </w:r>
      <w:r>
        <w:rPr>
          <w:noProof/>
          <w:position w:val="-10"/>
        </w:rPr>
        <w:object w:dxaOrig="400" w:dyaOrig="340">
          <v:shape id="_x0000_i1041" type="#_x0000_t75" style="width:19.9pt;height:17.2pt" o:ole="">
            <v:imagedata r:id="rId34" o:title=""/>
          </v:shape>
          <o:OLEObject Type="Embed" ProgID="Equation.3" ShapeID="_x0000_i1041" DrawAspect="Content" ObjectID="_1555501333" r:id="rId35"/>
        </w:object>
      </w:r>
      <w:r>
        <w:rPr>
          <w:noProof/>
        </w:rPr>
        <w:t xml:space="preserve"> are approximately known at the base station. Assume </w:t>
      </w:r>
      <w:r>
        <w:rPr>
          <w:noProof/>
          <w:position w:val="-10"/>
        </w:rPr>
        <w:object w:dxaOrig="2100" w:dyaOrig="360">
          <v:shape id="_x0000_i1042" type="#_x0000_t75" style="width:104.8pt;height:17.75pt" o:ole="">
            <v:imagedata r:id="rId36" o:title=""/>
          </v:shape>
          <o:OLEObject Type="Embed" ProgID="Equation.3" ShapeID="_x0000_i1042" DrawAspect="Content" ObjectID="_1555501334" r:id="rId37"/>
        </w:object>
      </w:r>
      <w:r>
        <w:rPr>
          <w:noProof/>
        </w:rPr>
        <w:t xml:space="preserve">, where </w:t>
      </w:r>
      <w:r>
        <w:rPr>
          <w:noProof/>
          <w:position w:val="-10"/>
        </w:rPr>
        <w:object w:dxaOrig="340" w:dyaOrig="360">
          <v:shape id="_x0000_i1043" type="#_x0000_t75" style="width:17.2pt;height:17.75pt" o:ole="">
            <v:imagedata r:id="rId38" o:title=""/>
          </v:shape>
          <o:OLEObject Type="Embed" ProgID="Equation.3" ShapeID="_x0000_i1043" DrawAspect="Content" ObjectID="_1555501335" r:id="rId39"/>
        </w:object>
      </w:r>
      <w:r>
        <w:rPr>
          <w:noProof/>
        </w:rPr>
        <w:t xml:space="preserve"> is the Hermitian operator. Accumulating over multiple tones in the frequency domain can be used to obtain a wideband or subband </w:t>
      </w:r>
      <w:r w:rsidRPr="009A326C">
        <w:rPr>
          <w:position w:val="-10"/>
        </w:rPr>
        <w:object w:dxaOrig="279" w:dyaOrig="340">
          <v:shape id="_x0000_i1044" type="#_x0000_t75" style="width:13.95pt;height:17.2pt" o:ole="">
            <v:imagedata r:id="rId40" o:title=""/>
          </v:shape>
          <o:OLEObject Type="Embed" ProgID="Equation.3" ShapeID="_x0000_i1044" DrawAspect="Content" ObjectID="_1555501336" r:id="rId41"/>
        </w:object>
      </w:r>
      <w:r>
        <w:t>, the subscript “1” signifies the covariance matrix is derived from SRS transmission of UE Tx antenna 1.</w:t>
      </w:r>
      <w:r>
        <w:rPr>
          <w:noProof/>
        </w:rPr>
        <w:t xml:space="preserve">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Note that the base station can accumulate</w:t>
      </w:r>
      <w:r w:rsidRPr="009A326C">
        <w:rPr>
          <w:position w:val="-10"/>
        </w:rPr>
        <w:object w:dxaOrig="279" w:dyaOrig="340">
          <v:shape id="_x0000_i1045" type="#_x0000_t75" style="width:13.95pt;height:17.2pt" o:ole="">
            <v:imagedata r:id="rId40" o:title=""/>
          </v:shape>
          <o:OLEObject Type="Embed" ProgID="Equation.3" ShapeID="_x0000_i1045" DrawAspect="Content" ObjectID="_1555501337" r:id="rId42"/>
        </w:object>
      </w:r>
      <w:r>
        <w:rPr>
          <w:noProof/>
        </w:rPr>
        <w:t xml:space="preserve"> over time, e.g. over two or more SRS transmission occassions with moving average. Assume a low UE speed at 3 Km/Hr, in 60 millisconds, the displacement of UE Tx antenna 1 is about half-a wavelength at a carrier frequency of 3 GHz. A timing domain sampling of the spatial channel can be utilized for a spatial sampling of the spatial channel. If the UE antenna configuration is aligned with UE’s moving direction (e.g. the UE antennas are </w:t>
      </w:r>
      <w:r>
        <w:rPr>
          <w:noProof/>
          <w:position w:val="-10"/>
        </w:rPr>
        <w:object w:dxaOrig="540" w:dyaOrig="360">
          <v:shape id="_x0000_i1046" type="#_x0000_t75" style="width:26.35pt;height:17.75pt" o:ole="">
            <v:imagedata r:id="rId43" o:title=""/>
          </v:shape>
          <o:OLEObject Type="Embed" ProgID="Equation.3" ShapeID="_x0000_i1046" DrawAspect="Content" ObjectID="_1555501338" r:id="rId44"/>
        </w:object>
      </w:r>
      <w:r>
        <w:rPr>
          <w:noProof/>
        </w:rPr>
        <w:t xml:space="preserve">, and antennas </w:t>
      </w:r>
      <w:r w:rsidRPr="009A326C">
        <w:rPr>
          <w:position w:val="-10"/>
        </w:rPr>
        <w:object w:dxaOrig="279" w:dyaOrig="360">
          <v:shape id="_x0000_i1047" type="#_x0000_t75" style="width:13.95pt;height:17.75pt" o:ole="">
            <v:imagedata r:id="rId45" o:title=""/>
          </v:shape>
          <o:OLEObject Type="Embed" ProgID="Equation.3" ShapeID="_x0000_i1047" DrawAspect="Content" ObjectID="_1555501339" r:id="rId46"/>
        </w:object>
      </w:r>
      <w:r>
        <w:t xml:space="preserve"> are spaced half-wavelength away from </w:t>
      </w:r>
      <w:r w:rsidRPr="009A326C">
        <w:rPr>
          <w:position w:val="-10"/>
        </w:rPr>
        <w:object w:dxaOrig="279" w:dyaOrig="360">
          <v:shape id="_x0000_i1048" type="#_x0000_t75" style="width:13.95pt;height:17.75pt" o:ole="">
            <v:imagedata r:id="rId47" o:title=""/>
          </v:shape>
          <o:OLEObject Type="Embed" ProgID="Equation.3" ShapeID="_x0000_i1048" DrawAspect="Content" ObjectID="_1555501340" r:id="rId48"/>
        </w:object>
      </w:r>
      <w:r>
        <w:t xml:space="preserve">, and </w:t>
      </w:r>
      <w:r>
        <w:rPr>
          <w:noProof/>
          <w:position w:val="-10"/>
        </w:rPr>
        <w:object w:dxaOrig="540" w:dyaOrig="360">
          <v:shape id="_x0000_i1049" type="#_x0000_t75" style="width:26.35pt;height:17.75pt" o:ole="">
            <v:imagedata r:id="rId43" o:title=""/>
          </v:shape>
          <o:OLEObject Type="Embed" ProgID="Equation.3" ShapeID="_x0000_i1049" DrawAspect="Content" ObjectID="_1555501341" r:id="rId49"/>
        </w:object>
      </w:r>
      <w:r>
        <w:rPr>
          <w:noProof/>
        </w:rPr>
        <w:t>are in parallel with UE’s moving direction</w:t>
      </w:r>
      <w:r>
        <w:t>)</w:t>
      </w:r>
      <w:r>
        <w:rPr>
          <w:noProof/>
        </w:rPr>
        <w:t xml:space="preserve"> a good approximation from samplings in the time domain from one UE antenna can be used to reveal the spatial channel properties between itself and other UE antennas and base station antennas. In another word, if </w:t>
      </w:r>
      <w:r w:rsidRPr="009A326C">
        <w:rPr>
          <w:position w:val="-10"/>
        </w:rPr>
        <w:object w:dxaOrig="279" w:dyaOrig="340">
          <v:shape id="_x0000_i1050" type="#_x0000_t75" style="width:13.95pt;height:17.2pt" o:ole="">
            <v:imagedata r:id="rId40" o:title=""/>
          </v:shape>
          <o:OLEObject Type="Embed" ProgID="Equation.3" ShapeID="_x0000_i1050" DrawAspect="Content" ObjectID="_1555501342" r:id="rId50"/>
        </w:object>
      </w:r>
      <w:r>
        <w:t xml:space="preserve"> is accumulated over time, then it may actually contains contribution from UE antenna 3 in the example</w:t>
      </w:r>
      <w:r>
        <w:rPr>
          <w:noProof/>
        </w:rPr>
        <w:t xml:space="preserve">. Of course, when the UE antenna configuration is not aligned with the UE’s moving direction, the accumulation over time for </w:t>
      </w:r>
      <w:r w:rsidRPr="009A326C">
        <w:rPr>
          <w:position w:val="-10"/>
        </w:rPr>
        <w:object w:dxaOrig="279" w:dyaOrig="340">
          <v:shape id="_x0000_i1051" type="#_x0000_t75" style="width:13.95pt;height:17.2pt" o:ole="">
            <v:imagedata r:id="rId40" o:title=""/>
          </v:shape>
          <o:OLEObject Type="Embed" ProgID="Equation.3" ShapeID="_x0000_i1051" DrawAspect="Content" ObjectID="_1555501343" r:id="rId51"/>
        </w:object>
      </w:r>
      <w:r>
        <w:t>may not include a completely faithful representation of UE antenna 3</w:t>
      </w:r>
      <w:r>
        <w:rPr>
          <w:noProof/>
        </w:rPr>
        <w:t xml:space="preserve">.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lastRenderedPageBreak/>
        <w:t xml:space="preserve">We note Tx antenna switching (scheme 4) can be used to send SRS from different UE antennas. Tx antenna switching &amp; accumulation over time can jointly provide complete information on the channel response, though insertion loss due to antenna switch cannot be ignored.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From the previous discusison, it may not not necessary to perofrm SRS transmissions from all UE antennas as some information is provided through accmulation over time, rather using some representive UE antennas (e.g. Antennas 1 &amp; 2 with the antenna configuration </w:t>
      </w:r>
      <w:r>
        <w:rPr>
          <w:noProof/>
          <w:position w:val="-10"/>
        </w:rPr>
        <w:object w:dxaOrig="540" w:dyaOrig="360">
          <v:shape id="_x0000_i1052" type="#_x0000_t75" style="width:26.35pt;height:17.75pt" o:ole="">
            <v:imagedata r:id="rId43" o:title=""/>
          </v:shape>
          <o:OLEObject Type="Embed" ProgID="Equation.3" ShapeID="_x0000_i1052" DrawAspect="Content" ObjectID="_1555501344" r:id="rId52"/>
        </w:object>
      </w:r>
      <w:r>
        <w:rPr>
          <w:noProof/>
        </w:rPr>
        <w:t xml:space="preserve">) may be adequate. Hence SRS antenna port selection over time can be optimized also.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 xml:space="preserve">Once </w:t>
      </w:r>
      <w:r w:rsidRPr="009A326C">
        <w:rPr>
          <w:position w:val="-10"/>
        </w:rPr>
        <w:object w:dxaOrig="279" w:dyaOrig="340">
          <v:shape id="_x0000_i1053" type="#_x0000_t75" style="width:13.95pt;height:17.2pt" o:ole="">
            <v:imagedata r:id="rId40" o:title=""/>
          </v:shape>
          <o:OLEObject Type="Embed" ProgID="Equation.3" ShapeID="_x0000_i1053" DrawAspect="Content" ObjectID="_1555501345" r:id="rId53"/>
        </w:object>
      </w:r>
      <w:r>
        <w:t xml:space="preserve">is obtained through single shot observation or accumulation over time and/or antenna switching, </w:t>
      </w:r>
      <w:r>
        <w:rPr>
          <w:noProof/>
        </w:rPr>
        <w:t xml:space="preserve">an eigenvector decomposition on </w:t>
      </w:r>
      <w:r>
        <w:rPr>
          <w:noProof/>
          <w:position w:val="-10"/>
        </w:rPr>
        <w:object w:dxaOrig="279" w:dyaOrig="340">
          <v:shape id="_x0000_i1054" type="#_x0000_t75" style="width:13.95pt;height:17.2pt" o:ole="">
            <v:imagedata r:id="rId54" o:title=""/>
          </v:shape>
          <o:OLEObject Type="Embed" ProgID="Equation.3" ShapeID="_x0000_i1054" DrawAspect="Content" ObjectID="_1555501346" r:id="rId55"/>
        </w:object>
      </w:r>
      <w:r>
        <w:rPr>
          <w:noProof/>
        </w:rPr>
        <w:t xml:space="preserve"> can be perfomed at the base station:</w:t>
      </w:r>
    </w:p>
    <w:p w:rsidR="00C97183" w:rsidRDefault="00C97183" w:rsidP="00C97183">
      <w:pPr>
        <w:tabs>
          <w:tab w:val="center" w:pos="4800"/>
          <w:tab w:val="right" w:pos="9500"/>
        </w:tabs>
        <w:ind w:firstLine="720"/>
        <w:rPr>
          <w:noProof/>
        </w:rPr>
      </w:pPr>
      <w:r>
        <w:rPr>
          <w:noProof/>
        </w:rPr>
        <w:tab/>
      </w:r>
      <w:r>
        <w:rPr>
          <w:noProof/>
          <w:position w:val="-10"/>
        </w:rPr>
        <w:object w:dxaOrig="1200" w:dyaOrig="360">
          <v:shape id="_x0000_i1055" type="#_x0000_t75" style="width:60.2pt;height:17.75pt" o:ole="">
            <v:imagedata r:id="rId56" o:title=""/>
          </v:shape>
          <o:OLEObject Type="Embed" ProgID="Equation.3" ShapeID="_x0000_i1055" DrawAspect="Content" ObjectID="_1555501347" r:id="rId57"/>
        </w:object>
      </w:r>
    </w:p>
    <w:p w:rsidR="00C97183" w:rsidRDefault="00C97183" w:rsidP="00C97183">
      <w:pPr>
        <w:tabs>
          <w:tab w:val="center" w:pos="4800"/>
          <w:tab w:val="right" w:pos="9500"/>
        </w:tabs>
        <w:jc w:val="both"/>
        <w:rPr>
          <w:noProof/>
        </w:rPr>
      </w:pPr>
      <w:r>
        <w:rPr>
          <w:noProof/>
        </w:rPr>
        <w:t xml:space="preserve">where </w:t>
      </w:r>
      <w:r>
        <w:rPr>
          <w:noProof/>
          <w:position w:val="-4"/>
        </w:rPr>
        <w:object w:dxaOrig="260" w:dyaOrig="260">
          <v:shape id="_x0000_i1056" type="#_x0000_t75" style="width:12.9pt;height:12.9pt" o:ole="">
            <v:imagedata r:id="rId58" o:title=""/>
          </v:shape>
          <o:OLEObject Type="Embed" ProgID="Equation.3" ShapeID="_x0000_i1056" DrawAspect="Content" ObjectID="_1555501348" r:id="rId59"/>
        </w:object>
      </w:r>
      <w:r>
        <w:rPr>
          <w:noProof/>
        </w:rPr>
        <w:t xml:space="preserve"> is a diagonal matrix with descending eigenvalues at the diagonals, </w:t>
      </w:r>
      <w:r>
        <w:rPr>
          <w:noProof/>
          <w:position w:val="-12"/>
        </w:rPr>
        <w:object w:dxaOrig="400" w:dyaOrig="360">
          <v:shape id="_x0000_i1057" type="#_x0000_t75" style="width:19.9pt;height:17.75pt" o:ole="">
            <v:imagedata r:id="rId60" o:title=""/>
          </v:shape>
          <o:OLEObject Type="Embed" ProgID="Equation.3" ShapeID="_x0000_i1057" DrawAspect="Content" ObjectID="_1555501349" r:id="rId61"/>
        </w:object>
      </w:r>
      <w:r>
        <w:rPr>
          <w:noProof/>
        </w:rPr>
        <w:t xml:space="preserve"> is a unitary matrix and </w:t>
      </w:r>
      <w:r>
        <w:rPr>
          <w:noProof/>
          <w:position w:val="-12"/>
        </w:rPr>
        <w:object w:dxaOrig="1520" w:dyaOrig="360">
          <v:shape id="_x0000_i1058" type="#_x0000_t75" style="width:76.3pt;height:17.75pt" o:ole="">
            <v:imagedata r:id="rId62" o:title=""/>
          </v:shape>
          <o:OLEObject Type="Embed" ProgID="Equation.3" ShapeID="_x0000_i1058" DrawAspect="Content" ObjectID="_1555501350" r:id="rId63"/>
        </w:object>
      </w:r>
      <w:r>
        <w:rPr>
          <w:noProof/>
        </w:rPr>
        <w:t xml:space="preserve">, </w:t>
      </w:r>
      <w:r>
        <w:rPr>
          <w:noProof/>
          <w:position w:val="-12"/>
        </w:rPr>
        <w:object w:dxaOrig="220" w:dyaOrig="360">
          <v:shape id="_x0000_i1059" type="#_x0000_t75" style="width:10.75pt;height:17.75pt" o:ole="">
            <v:imagedata r:id="rId64" o:title=""/>
          </v:shape>
          <o:OLEObject Type="Embed" ProgID="Equation.3" ShapeID="_x0000_i1059" DrawAspect="Content" ObjectID="_1555501351" r:id="rId65"/>
        </w:object>
      </w:r>
      <w:r>
        <w:rPr>
          <w:noProof/>
        </w:rPr>
        <w:t xml:space="preserve"> is </w:t>
      </w:r>
      <w:r>
        <w:rPr>
          <w:noProof/>
          <w:position w:val="-6"/>
        </w:rPr>
        <w:object w:dxaOrig="440" w:dyaOrig="279">
          <v:shape id="_x0000_i1060" type="#_x0000_t75" style="width:22.05pt;height:13.95pt" o:ole="">
            <v:imagedata r:id="rId66" o:title=""/>
          </v:shape>
          <o:OLEObject Type="Embed" ProgID="Equation.3" ShapeID="_x0000_i1060" DrawAspect="Content" ObjectID="_1555501352" r:id="rId67"/>
        </w:object>
      </w:r>
      <w:r>
        <w:rPr>
          <w:noProof/>
        </w:rPr>
        <w:t xml:space="preserve"> vector, </w:t>
      </w:r>
      <w:r>
        <w:rPr>
          <w:noProof/>
          <w:position w:val="-6"/>
        </w:rPr>
        <w:object w:dxaOrig="800" w:dyaOrig="279">
          <v:shape id="_x0000_i1061" type="#_x0000_t75" style="width:39.75pt;height:13.95pt" o:ole="">
            <v:imagedata r:id="rId68" o:title=""/>
          </v:shape>
          <o:OLEObject Type="Embed" ProgID="Equation.3" ShapeID="_x0000_i1061" DrawAspect="Content" ObjectID="_1555501353" r:id="rId69"/>
        </w:object>
      </w:r>
      <w:r>
        <w:rPr>
          <w:noProof/>
        </w:rPr>
        <w:t xml:space="preserve">. </w:t>
      </w:r>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As there are only two antennas at the UE, from CSI acquisition’s point of view, the base station needs to acquire the knowledge to decide whether rank 1 or rank 2 is preferred for DL data transmission. To achieve that, in one example, the following construction for precoding</w:t>
      </w:r>
    </w:p>
    <w:p w:rsidR="00C97183" w:rsidRDefault="00C97183" w:rsidP="00C97183">
      <w:pPr>
        <w:tabs>
          <w:tab w:val="center" w:pos="4800"/>
          <w:tab w:val="right" w:pos="9500"/>
        </w:tabs>
        <w:ind w:firstLine="720"/>
        <w:rPr>
          <w:noProof/>
        </w:rPr>
      </w:pPr>
      <w:r>
        <w:rPr>
          <w:noProof/>
        </w:rPr>
        <w:t xml:space="preserve">                                                    P=</w:t>
      </w:r>
      <w:r>
        <w:rPr>
          <w:noProof/>
          <w:position w:val="-32"/>
        </w:rPr>
        <w:object w:dxaOrig="1700" w:dyaOrig="760">
          <v:shape id="_x0000_i1062" type="#_x0000_t75" style="width:84.9pt;height:38.15pt" o:ole="">
            <v:imagedata r:id="rId70" o:title=""/>
          </v:shape>
          <o:OLEObject Type="Embed" ProgID="Equation.3" ShapeID="_x0000_i1062" DrawAspect="Content" ObjectID="_1555501354" r:id="rId71"/>
        </w:object>
      </w:r>
      <w:r>
        <w:rPr>
          <w:noProof/>
        </w:rPr>
        <w:t xml:space="preserve">                                                                    </w:t>
      </w:r>
    </w:p>
    <w:p w:rsidR="00C97183" w:rsidRDefault="00C97183" w:rsidP="00C97183">
      <w:pPr>
        <w:tabs>
          <w:tab w:val="center" w:pos="4800"/>
          <w:tab w:val="right" w:pos="9500"/>
        </w:tabs>
        <w:jc w:val="both"/>
        <w:rPr>
          <w:noProof/>
        </w:rPr>
      </w:pPr>
      <w:r>
        <w:rPr>
          <w:noProof/>
        </w:rPr>
        <w:t>for a 4 port CSI-RS vritualization.</w:t>
      </w:r>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 xml:space="preserve">On the UE side, over the virtualized CSI-RS ports, the UE performs CSI measurement and reporting according to a reduced rank codebook (over the virtualized antenna ports (2 ports or 4 ports) instead of all the antenna ports at base station (16 ports in this example). For the reduced rank codebook, a linear combination codebook, Class-A W2 part in general, Class-B codebook with beam selection as introduced for Class-B at </w:t>
      </w:r>
      <w:r>
        <w:rPr>
          <w:noProof/>
          <w:position w:val="-4"/>
        </w:rPr>
        <w:object w:dxaOrig="600" w:dyaOrig="260">
          <v:shape id="_x0000_i1063" type="#_x0000_t75" style="width:30.1pt;height:12.9pt" o:ole="">
            <v:imagedata r:id="rId72" o:title=""/>
          </v:shape>
          <o:OLEObject Type="Embed" ProgID="Equation.3" ShapeID="_x0000_i1063" DrawAspect="Content" ObjectID="_1555501355" r:id="rId73"/>
        </w:object>
      </w:r>
      <w:r>
        <w:rPr>
          <w:noProof/>
        </w:rPr>
        <w:t xml:space="preserve"> as in Rel-13, or the legacy LTE Rel-8 2/4 Tx codebook,  can be considered. Along with rank indication, PMI and the CQI can be calculated according to interference experienced at the UE.  </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In summary, the SRS transmission either with or without Tx antenna switching is used to reveal beam structure or a beam basis/basis vectors at the base station, and to construct a precoder for CSI-RS antenna virtualization. Note as potential the precoding process has to be conducted for many UEs, aperiodic CSI-RS or CSI-RS use from a shared pool can be used. The second stage CSI feedback based on beamformed CSI-RS provides accurate CSI that reduces the impact of reciprocity calibration.</w:t>
      </w:r>
    </w:p>
    <w:p w:rsidR="00C97183" w:rsidRDefault="00C97183" w:rsidP="00C97183">
      <w:pPr>
        <w:tabs>
          <w:tab w:val="center" w:pos="4800"/>
          <w:tab w:val="right" w:pos="9500"/>
        </w:tabs>
        <w:jc w:val="both"/>
        <w:rPr>
          <w:noProof/>
        </w:rPr>
      </w:pPr>
    </w:p>
    <w:p w:rsidR="00C97183" w:rsidRDefault="00C97183" w:rsidP="00C97183">
      <w:pPr>
        <w:tabs>
          <w:tab w:val="center" w:pos="4800"/>
          <w:tab w:val="right" w:pos="9500"/>
        </w:tabs>
        <w:jc w:val="both"/>
        <w:rPr>
          <w:noProof/>
        </w:rPr>
      </w:pPr>
      <w:r>
        <w:rPr>
          <w:noProof/>
        </w:rPr>
        <w:t xml:space="preserve">We can also consider another approach, the partial channel information in </w:t>
      </w:r>
      <w:r>
        <w:rPr>
          <w:noProof/>
          <w:position w:val="-10"/>
        </w:rPr>
        <w:object w:dxaOrig="960" w:dyaOrig="340">
          <v:shape id="_x0000_i1064" type="#_x0000_t75" style="width:47.8pt;height:17.2pt" o:ole="">
            <v:imagedata r:id="rId74" o:title=""/>
          </v:shape>
          <o:OLEObject Type="Embed" ProgID="Equation.3" ShapeID="_x0000_i1064" DrawAspect="Content" ObjectID="_1555501356" r:id="rId75"/>
        </w:object>
      </w:r>
      <w:r>
        <w:rPr>
          <w:noProof/>
        </w:rPr>
        <w:t xml:space="preserve"> can be used to identify a main beam between the base station to the UE, for example through correlation with all the codewords in the codebook (e.g., Class-A codebook from Rel-13). For example, through performing correlation between </w:t>
      </w:r>
      <m:oMath>
        <m:sSub>
          <m:sSubPr>
            <m:ctrlPr>
              <w:rPr>
                <w:rFonts w:ascii="Cambria Math" w:hAnsi="Cambria Math"/>
                <w:i/>
                <w:noProof/>
              </w:rPr>
            </m:ctrlPr>
          </m:sSubPr>
          <m:e>
            <m:r>
              <w:rPr>
                <w:rFonts w:ascii="Cambria Math" w:hAnsi="Cambria Math"/>
                <w:noProof/>
              </w:rPr>
              <m:t>v</m:t>
            </m:r>
          </m:e>
          <m:sub>
            <m:r>
              <w:rPr>
                <w:rFonts w:ascii="Cambria Math" w:hAnsi="Cambria Math"/>
                <w:noProof/>
              </w:rPr>
              <m:t>1</m:t>
            </m:r>
          </m:sub>
        </m:sSub>
      </m:oMath>
      <w:r>
        <w:rPr>
          <w:noProof/>
        </w:rPr>
        <w:t xml:space="preserve"> and codewords in a Class-A codebook, the codeword with the strongest correlation with </w:t>
      </w:r>
      <m:oMath>
        <m:sSub>
          <m:sSubPr>
            <m:ctrlPr>
              <w:rPr>
                <w:rFonts w:ascii="Cambria Math" w:hAnsi="Cambria Math"/>
                <w:i/>
                <w:noProof/>
              </w:rPr>
            </m:ctrlPr>
          </m:sSubPr>
          <m:e>
            <m:r>
              <w:rPr>
                <w:rFonts w:ascii="Cambria Math" w:hAnsi="Cambria Math"/>
                <w:noProof/>
              </w:rPr>
              <m:t>v</m:t>
            </m:r>
          </m:e>
          <m:sub>
            <m:r>
              <w:rPr>
                <w:rFonts w:ascii="Cambria Math" w:hAnsi="Cambria Math"/>
                <w:noProof/>
              </w:rPr>
              <m:t>1</m:t>
            </m:r>
          </m:sub>
        </m:sSub>
      </m:oMath>
      <w:r>
        <w:rPr>
          <w:noProof/>
        </w:rPr>
        <w:t xml:space="preserve"> is found, and its composing beam(s) is/are identified.</w:t>
      </w:r>
    </w:p>
    <w:p w:rsidR="00C97183" w:rsidRDefault="00C97183" w:rsidP="00C97183">
      <w:pPr>
        <w:tabs>
          <w:tab w:val="center" w:pos="4800"/>
          <w:tab w:val="right" w:pos="9500"/>
        </w:tabs>
        <w:ind w:firstLine="720"/>
        <w:jc w:val="both"/>
        <w:rPr>
          <w:noProof/>
        </w:rPr>
      </w:pPr>
    </w:p>
    <w:p w:rsidR="00C97183" w:rsidRDefault="00C97183" w:rsidP="00C97183">
      <w:pPr>
        <w:tabs>
          <w:tab w:val="center" w:pos="4800"/>
          <w:tab w:val="right" w:pos="9500"/>
        </w:tabs>
        <w:jc w:val="both"/>
        <w:rPr>
          <w:noProof/>
        </w:rPr>
      </w:pPr>
      <w:r>
        <w:rPr>
          <w:noProof/>
        </w:rPr>
        <w:t>If there is an one-to-one mapping between an identified beam and a corresponding beam group in the codebook, then beams from that beam group can be used for CSI-RS antenna port virtualization. This is similar to what is considered in the previous approach. The difference lies in the previous approach one constructs a codebook according to channel observation directly via obtained eigen decomposition, here the channel observation is mapped into a set of basis vectors and then the identified set of basis vectors is used to build the precoder with a structure similar to the beam group defined in Rel-13 FD-MIMO codebooks.</w:t>
      </w:r>
    </w:p>
    <w:p w:rsidR="00C97183" w:rsidRDefault="00C97183" w:rsidP="00C97183">
      <w:pPr>
        <w:rPr>
          <w:szCs w:val="20"/>
        </w:rPr>
      </w:pPr>
    </w:p>
    <w:p w:rsidR="00C97183" w:rsidRDefault="00C97183" w:rsidP="00C97183">
      <w:pPr>
        <w:rPr>
          <w:szCs w:val="20"/>
        </w:rPr>
      </w:pPr>
      <w:r>
        <w:rPr>
          <w:szCs w:val="20"/>
        </w:rPr>
        <w:t xml:space="preserve">From the above procedure, we basically assume a low rank precoder acquired from partial CSI information can be used as an indicator for a higher rank precoder. From that, retaining the nested property of precoders, i.e. a low rank </w:t>
      </w:r>
      <w:r>
        <w:rPr>
          <w:szCs w:val="20"/>
        </w:rPr>
        <w:lastRenderedPageBreak/>
        <w:t>precoder is contained as a scaled version of a high rank precoder with column selection, is still desirable in the codebook construction.</w:t>
      </w:r>
    </w:p>
    <w:p w:rsidR="00C97183" w:rsidRDefault="00C97183" w:rsidP="00C97183">
      <w:pPr>
        <w:rPr>
          <w:szCs w:val="20"/>
        </w:rPr>
      </w:pPr>
    </w:p>
    <w:p w:rsidR="00C97183" w:rsidRDefault="00C97183" w:rsidP="00C97183">
      <w:pPr>
        <w:rPr>
          <w:szCs w:val="20"/>
        </w:rPr>
      </w:pPr>
      <w:r>
        <w:rPr>
          <w:szCs w:val="20"/>
        </w:rPr>
        <w:t xml:space="preserve">We have </w:t>
      </w:r>
    </w:p>
    <w:p w:rsidR="00C97183" w:rsidRDefault="00C97183" w:rsidP="00C97183">
      <w:pPr>
        <w:tabs>
          <w:tab w:val="center" w:pos="4800"/>
          <w:tab w:val="right" w:pos="9500"/>
        </w:tabs>
        <w:jc w:val="both"/>
        <w:rPr>
          <w:lang w:eastAsia="ja-JP"/>
        </w:rPr>
      </w:pPr>
      <w:r w:rsidRPr="00CF4527">
        <w:rPr>
          <w:b/>
          <w:noProof/>
        </w:rPr>
        <w:t xml:space="preserve">Proposal: </w:t>
      </w:r>
      <w:r>
        <w:rPr>
          <w:b/>
          <w:noProof/>
        </w:rPr>
        <w:t xml:space="preserve">Consider CSI </w:t>
      </w:r>
      <w:r>
        <w:rPr>
          <w:b/>
        </w:rPr>
        <w:t>acquisition</w:t>
      </w:r>
      <w:r>
        <w:rPr>
          <w:b/>
          <w:noProof/>
        </w:rPr>
        <w:t xml:space="preserve"> with partial CSI in Type I/II CSI discussion</w:t>
      </w:r>
      <w:r w:rsidRPr="00CF4527">
        <w:rPr>
          <w:b/>
          <w:noProof/>
        </w:rPr>
        <w:t>.</w:t>
      </w:r>
    </w:p>
    <w:p w:rsidR="00C97183" w:rsidRDefault="00C97183" w:rsidP="00C97183">
      <w:pPr>
        <w:jc w:val="both"/>
        <w:rPr>
          <w:lang w:eastAsia="ja-JP"/>
        </w:rPr>
      </w:pPr>
    </w:p>
    <w:p w:rsidR="00C97183" w:rsidRPr="00272B8E" w:rsidRDefault="00C97183" w:rsidP="00C97183">
      <w:pPr>
        <w:rPr>
          <w:szCs w:val="20"/>
        </w:rPr>
      </w:pPr>
      <w:r>
        <w:rPr>
          <w:szCs w:val="20"/>
        </w:rPr>
        <w:pict>
          <v:rect id="_x0000_i1065" style="width:482.4pt;height:1.5pt" o:hralign="center" o:hrstd="t" o:hrnoshade="t" o:hr="t" fillcolor="black" stroked="f"/>
        </w:pict>
      </w:r>
    </w:p>
    <w:p w:rsidR="00C97183" w:rsidRDefault="00C97183" w:rsidP="00C97183">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6" w:name="_Toc474161178"/>
      <w:r>
        <w:rPr>
          <w:b w:val="0"/>
          <w:kern w:val="2"/>
          <w:sz w:val="32"/>
          <w:lang w:val="en-AU" w:eastAsia="zh-CN"/>
        </w:rPr>
        <w:t>Conclusion</w:t>
      </w:r>
      <w:bookmarkEnd w:id="6"/>
    </w:p>
    <w:p w:rsidR="00C97183" w:rsidRDefault="00C97183" w:rsidP="00C97183">
      <w:pPr>
        <w:rPr>
          <w:szCs w:val="20"/>
        </w:rPr>
      </w:pPr>
      <w:r>
        <w:rPr>
          <w:lang w:val="en-AU" w:eastAsia="zh-CN"/>
        </w:rPr>
        <w:t xml:space="preserve">In this contribution, we provide our views on CSI acquisition with partial CSI. </w:t>
      </w:r>
      <w:r>
        <w:rPr>
          <w:szCs w:val="20"/>
        </w:rPr>
        <w:t xml:space="preserve">We have </w:t>
      </w:r>
    </w:p>
    <w:p w:rsidR="00C97183" w:rsidRPr="00CF4527" w:rsidRDefault="00C97183" w:rsidP="00C97183">
      <w:pPr>
        <w:tabs>
          <w:tab w:val="center" w:pos="4800"/>
          <w:tab w:val="right" w:pos="9500"/>
        </w:tabs>
        <w:jc w:val="both"/>
        <w:rPr>
          <w:b/>
          <w:noProof/>
        </w:rPr>
      </w:pPr>
      <w:r w:rsidRPr="00CF4527">
        <w:rPr>
          <w:b/>
          <w:noProof/>
        </w:rPr>
        <w:t xml:space="preserve">Proposal: </w:t>
      </w:r>
      <w:r>
        <w:rPr>
          <w:b/>
        </w:rPr>
        <w:t>Consider</w:t>
      </w:r>
      <w:r>
        <w:rPr>
          <w:b/>
          <w:noProof/>
        </w:rPr>
        <w:t xml:space="preserve"> CSI </w:t>
      </w:r>
      <w:r>
        <w:rPr>
          <w:b/>
        </w:rPr>
        <w:t>acquisition</w:t>
      </w:r>
      <w:r>
        <w:rPr>
          <w:b/>
          <w:noProof/>
        </w:rPr>
        <w:t xml:space="preserve"> with partial CSI in Type I/II CSI discussion</w:t>
      </w:r>
      <w:r w:rsidRPr="00CF4527">
        <w:rPr>
          <w:b/>
          <w:noProof/>
        </w:rPr>
        <w:t>.</w:t>
      </w:r>
    </w:p>
    <w:p w:rsidR="00D5475C" w:rsidRDefault="00D5475C"/>
    <w:sectPr w:rsidR="00D547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183"/>
    <w:rsid w:val="00C97183"/>
    <w:rsid w:val="00D547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2DC8E3-08DF-4954-BA0E-F52B2CC3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183"/>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C97183"/>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C97183"/>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C9718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C9718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9718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7183"/>
    <w:rPr>
      <w:rFonts w:ascii="Arial" w:eastAsia="MS Mincho" w:hAnsi="Arial" w:cs="Times New Roman"/>
      <w:b/>
      <w:sz w:val="20"/>
      <w:szCs w:val="24"/>
    </w:rPr>
  </w:style>
  <w:style w:type="character" w:styleId="Hyperlink">
    <w:name w:val="Hyperlink"/>
    <w:uiPriority w:val="99"/>
    <w:rsid w:val="00C971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29.wmf"/><Relationship Id="rId76"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oleObject" Target="embeddings/oleObject36.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oleObject" Target="embeddings/oleObject2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5" Type="http://schemas.openxmlformats.org/officeDocument/2006/relationships/hyperlink" Target="../../../../../Users/wanshic/Documents/Standards/3GPP%20Standards/Meeting%20Documents/TSGR1_88b/R1-1706809.zip"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9.bin"/><Relationship Id="rId61" Type="http://schemas.openxmlformats.org/officeDocument/2006/relationships/oleObject" Target="embeddings/oleObject31.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5.bin"/><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image" Target="media/image31.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2017-05-05T21:53:00Z</dcterms:created>
  <dcterms:modified xsi:type="dcterms:W3CDTF">2017-05-05T21:54:00Z</dcterms:modified>
</cp:coreProperties>
</file>